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</w:pPr>
      <w:bookmarkStart w:id="0" w:name="_GoBack"/>
      <w:bookmarkEnd w:id="0"/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lang w:eastAsia="zh-CN"/>
        </w:rPr>
        <w:t>经县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lang w:val="en-US" w:eastAsia="zh-CN"/>
        </w:rPr>
        <w:t>委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lang w:eastAsia="zh-CN"/>
        </w:rPr>
        <w:t>农村工作领导小组研究决定，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将（右财农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40号）下达乡村振兴局物流产业园区建设资金380万元调整到高家堡乡产业帮扶项目、边鸡养殖项目。其中产业帮扶古城堡村100万元、中碾头村100万元、上泥沟村96.2万元，边鸡养殖新城镇12万元、杨千河乡51.2万元、牛心堡乡20.6万元；将右财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23号厕所革命50万元调整为右卫镇头水泉村道路提升项目；将右财农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16号沙棘种植1.774526万元、右财农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34号</w:t>
      </w:r>
      <w:r>
        <w:rPr>
          <w:rFonts w:hint="eastAsia" w:ascii="仿宋_GB2312" w:hAnsi="微软雅黑" w:eastAsia="仿宋_GB2312" w:cs="宋体"/>
          <w:snapToGrid/>
          <w:kern w:val="0"/>
          <w:sz w:val="32"/>
          <w:szCs w:val="32"/>
          <w:lang w:val="en-US" w:eastAsia="zh-CN" w:bidi="ar-SA"/>
        </w:rPr>
        <w:t>高质量庭院经济发展李达窑乡3.011万元、杨千河乡0.274万元、杀虎口风景名胜区4.057万元调整为中大科技产业帮扶项目。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Zjg5YTUyZTJiM2Q4NDFkMTgzOWNhMDQ5NGU0NTAifQ=="/>
  </w:docVars>
  <w:rsids>
    <w:rsidRoot w:val="75BD3D65"/>
    <w:rsid w:val="75BD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2024-11-29T01:11:00Z</dcterms:created>
  <dc:creator>充电俩分钟能浪俩小时</dc:creator>
  <cp:lastModifiedBy>充电俩分钟能浪俩小时</cp:lastModifiedBy>
  <dcterms:modified xsi:type="dcterms:W3CDTF">2024-11-29T01:12:04Z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FABFD1F8AAF84B9984BB2ECFC119724D</vt:lpwstr>
  </property>
</Properties>
</file>