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</w:pPr>
      <w:bookmarkStart w:id="0" w:name="_GoBack"/>
      <w:bookmarkEnd w:id="0"/>
      <w:r>
        <w:rPr>
          <w:rFonts w:hint="eastAsia" w:ascii="仿宋_GB2312" w:hAnsi="微软雅黑" w:eastAsia="仿宋_GB2312" w:cs="宋体"/>
          <w:snapToGrid/>
          <w:kern w:val="0"/>
          <w:sz w:val="32"/>
          <w:szCs w:val="32"/>
          <w:lang w:val="en-US" w:eastAsia="zh-CN" w:bidi="ar-SA"/>
        </w:rPr>
        <w:t>经县农村工作领导小组研究决定，将右财农〔2024〕21号右卫镇八里铺环境整治50万元调整为右卫镇草沟堡农村饮水提升和污水管网建设；将右财农〔2024〕32号李达窑乡邢家口村磨坊改造项目0.291731万元、右财农〔2024〕7号元堡子镇牲畜饲料加工项目0.01万元调整为中大科技产业帮扶项目；将右财农〔2024〕7号沙棘园区二期项目40万元调整为燕麦提纯复壮项目10万元、交通稳岗补贴14.4591万元（杨千河乡）、威远镇白家窑平整土地项目15.5409万元；将右财农〔2024〕7号威远镇和美乡村建设项目200万元调整为右卫镇和美乡村建设150万元、右卫镇黑流堡环境整治30万元、右卫镇北元村道路硬化和村庄环境整治20万元。将右财农〔2024〕63号杀虎口风景名胜区马营河村香菇种植基地项目建设49.276572万元调整为龙头企业贴息项目；将右财农〔2024〕7号右卫镇东兴村高质量庭院经济发展50万元调整为右卫镇务工就业和稳岗补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lZjg5YTUyZTJiM2Q4NDFkMTgzOWNhMDQ5NGU0NTAifQ=="/>
  </w:docVars>
  <w:rsids>
    <w:rsidRoot w:val="66F65968"/>
    <w:rsid w:val="66F6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2024-11-29T01:13:00Z</dcterms:created>
  <dc:creator>充电俩分钟能浪俩小时</dc:creator>
  <cp:lastModifiedBy>充电俩分钟能浪俩小时</cp:lastModifiedBy>
  <dcterms:modified xsi:type="dcterms:W3CDTF">2024-11-29T01:13:20Z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95EE3011DC4B4290A098E92356E8141B</vt:lpwstr>
  </property>
</Properties>
</file>